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FE" w:rsidRDefault="006755FE" w:rsidP="006755FE">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ОБРАЗОВАТЕЛЬНАЯ ПРОГРАММА ПРОФЕССИОНАЛЬНОЙ ПОДГОТОВКИ ВОДИТЕЛЕЙ ТРАНСПОРТНЫХ СРЕДСТВ КАТЕГОРИИ "CE"</w:t>
      </w: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Пояснительная записка</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Образовательная программа профессиональной подготовки водителей транспортных средств категории "CE" (далее - Образовательная программа) разработана в соответствии с требованиями Федерального закона </w:t>
      </w:r>
      <w:hyperlink r:id="rId5" w:anchor="l0" w:history="1">
        <w:r>
          <w:rPr>
            <w:rStyle w:val="a3"/>
            <w:rFonts w:ascii="Times New Roman" w:hAnsi="Times New Roman"/>
            <w:color w:val="auto"/>
            <w:sz w:val="24"/>
            <w:szCs w:val="24"/>
          </w:rPr>
          <w:t>от 10 декабря 1995 г. N 196-ФЗ</w:t>
        </w:r>
      </w:hyperlink>
      <w:r>
        <w:rPr>
          <w:rFonts w:ascii="Times New Roman" w:hAnsi="Times New Roman"/>
          <w:sz w:val="24"/>
          <w:szCs w:val="24"/>
        </w:rPr>
        <w:t xml:space="preserve"> "О безопасности дорожного движения" (Собрание законодательства Российской Федерации, 1995, N 50, ст. 4873; </w:t>
      </w:r>
      <w:proofErr w:type="gramStart"/>
      <w:r>
        <w:rPr>
          <w:rFonts w:ascii="Times New Roman" w:hAnsi="Times New Roman"/>
          <w:sz w:val="24"/>
          <w:szCs w:val="24"/>
        </w:rPr>
        <w:t xml:space="preserve">2021, N 49, ст. 8153) (далее - Федеральный закон N 196-ФЗ), </w:t>
      </w:r>
      <w:hyperlink r:id="rId6" w:anchor="l215" w:history="1">
        <w:r>
          <w:rPr>
            <w:rStyle w:val="a3"/>
            <w:rFonts w:ascii="Times New Roman" w:hAnsi="Times New Roman"/>
            <w:color w:val="auto"/>
            <w:sz w:val="24"/>
            <w:szCs w:val="24"/>
          </w:rPr>
          <w:t>пунктом 3</w:t>
        </w:r>
      </w:hyperlink>
      <w:r>
        <w:rPr>
          <w:rFonts w:ascii="Times New Roman" w:hAnsi="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7" w:anchor="l7" w:history="1">
        <w:r>
          <w:rPr>
            <w:rStyle w:val="a3"/>
            <w:rFonts w:ascii="Times New Roman" w:hAnsi="Times New Roman"/>
            <w:color w:val="auto"/>
            <w:sz w:val="24"/>
            <w:szCs w:val="24"/>
          </w:rPr>
          <w:t>пунктом 2</w:t>
        </w:r>
      </w:hyperlink>
      <w:r>
        <w:rPr>
          <w:rFonts w:ascii="Times New Roman" w:hAnsi="Times New Roman"/>
          <w:sz w:val="24"/>
          <w:szCs w:val="24"/>
        </w:rPr>
        <w:t xml:space="preserve"> Правил разработки Рабочих программ профессионального обучения водителей транспортных средств соответствующих категорий и подкатегорий, утвержденных</w:t>
      </w:r>
      <w:proofErr w:type="gramEnd"/>
      <w:r>
        <w:rPr>
          <w:rFonts w:ascii="Times New Roman" w:hAnsi="Times New Roman"/>
          <w:sz w:val="24"/>
          <w:szCs w:val="24"/>
        </w:rPr>
        <w:t xml:space="preserve"> постановлением Правительства Российской Федерации от 1 ноября 2013 г. N 980 (Собрание законодательства Российской Федерации, 2013, N 45, ст. 5816; </w:t>
      </w:r>
      <w:proofErr w:type="gramStart"/>
      <w:r>
        <w:rPr>
          <w:rFonts w:ascii="Times New Roman" w:hAnsi="Times New Roman"/>
          <w:sz w:val="24"/>
          <w:szCs w:val="24"/>
        </w:rPr>
        <w:t xml:space="preserve">2018, N 52, ст. 8305), </w:t>
      </w:r>
      <w:hyperlink r:id="rId8" w:anchor="l7" w:history="1">
        <w:r>
          <w:rPr>
            <w:rStyle w:val="a3"/>
            <w:rFonts w:ascii="Times New Roman" w:hAnsi="Times New Roman"/>
            <w:color w:val="auto"/>
            <w:sz w:val="24"/>
            <w:szCs w:val="24"/>
          </w:rPr>
          <w:t>Порядком</w:t>
        </w:r>
      </w:hyperlink>
      <w:r>
        <w:rPr>
          <w:rFonts w:ascii="Times New Roman" w:hAnsi="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9" w:anchor="l3" w:history="1">
        <w:r>
          <w:rPr>
            <w:rStyle w:val="a3"/>
            <w:rFonts w:ascii="Times New Roman" w:hAnsi="Times New Roman"/>
            <w:color w:val="auto"/>
            <w:sz w:val="24"/>
            <w:szCs w:val="24"/>
          </w:rPr>
          <w:t>требованиями</w:t>
        </w:r>
      </w:hyperlink>
      <w:r>
        <w:rPr>
          <w:rFonts w:ascii="Times New Roman" w:hAnsi="Times New Roman"/>
          <w:sz w:val="24"/>
          <w:szCs w:val="24"/>
        </w:rPr>
        <w:t>, предъявляемыми при осуществлении перевозок к работникам юридических лиц и индивидуальных предпринимателей, указанными в абзаце первом</w:t>
      </w:r>
      <w:proofErr w:type="gramEnd"/>
      <w:r>
        <w:rPr>
          <w:rFonts w:ascii="Times New Roman" w:hAnsi="Times New Roman"/>
          <w:sz w:val="24"/>
          <w:szCs w:val="24"/>
        </w:rPr>
        <w:t xml:space="preserve"> </w:t>
      </w:r>
      <w:proofErr w:type="gramStart"/>
      <w:r>
        <w:rPr>
          <w:rFonts w:ascii="Times New Roman" w:hAnsi="Times New Roman"/>
          <w:sz w:val="24"/>
          <w:szCs w:val="24"/>
        </w:rPr>
        <w:t>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roofErr w:type="gramEnd"/>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Содержание образовательной программы представлено пояснительной запиской,  учебным планом, рабочими программами учебных предметов, планируемыми результатами освоения образовательной программы, условиями реализации образовательной программы, системой оценки результатов освоения </w:t>
      </w:r>
      <w:proofErr w:type="spellStart"/>
      <w:r>
        <w:rPr>
          <w:rFonts w:ascii="Times New Roman" w:hAnsi="Times New Roman"/>
          <w:sz w:val="24"/>
          <w:szCs w:val="24"/>
        </w:rPr>
        <w:t>образховательной</w:t>
      </w:r>
      <w:proofErr w:type="spellEnd"/>
      <w:r>
        <w:rPr>
          <w:rFonts w:ascii="Times New Roman" w:hAnsi="Times New Roman"/>
          <w:sz w:val="24"/>
          <w:szCs w:val="24"/>
        </w:rPr>
        <w:t xml:space="preserve"> программы, учебно-методическими материалами, обеспечивающими реализацию образовательной программы.</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 содержит перечень учебных предметов специального цикла с указанием времени, отводимого на освоение учебных предметов, включая время, отводимое на теоретические и практические занятия.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Специальный ци</w:t>
      </w:r>
      <w:proofErr w:type="gramStart"/>
      <w:r>
        <w:rPr>
          <w:rFonts w:ascii="Times New Roman" w:hAnsi="Times New Roman"/>
          <w:sz w:val="24"/>
          <w:szCs w:val="24"/>
        </w:rPr>
        <w:t>кл вкл</w:t>
      </w:r>
      <w:proofErr w:type="gramEnd"/>
      <w:r>
        <w:rPr>
          <w:rFonts w:ascii="Times New Roman" w:hAnsi="Times New Roman"/>
          <w:sz w:val="24"/>
          <w:szCs w:val="24"/>
        </w:rPr>
        <w:t>ючает учебные предметы:</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"CE" как объектов управления";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"CE";</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транспортных средств категории "CE" (с механической трансмиссией/с автоматической трансмиссией)".</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lastRenderedPageBreak/>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"CE", разработанной и утвержденной организацией, осуществляющей образовательную деятельность, в соответствии с частями </w:t>
      </w:r>
      <w:hyperlink r:id="rId10" w:anchor="l210" w:history="1">
        <w:r>
          <w:rPr>
            <w:rStyle w:val="a3"/>
            <w:rFonts w:ascii="Times New Roman" w:hAnsi="Times New Roman"/>
            <w:color w:val="auto"/>
            <w:sz w:val="24"/>
            <w:szCs w:val="24"/>
          </w:rPr>
          <w:t>3</w:t>
        </w:r>
      </w:hyperlink>
      <w:r>
        <w:rPr>
          <w:rFonts w:ascii="Times New Roman" w:hAnsi="Times New Roman"/>
          <w:sz w:val="24"/>
          <w:szCs w:val="24"/>
        </w:rPr>
        <w:t xml:space="preserve"> и </w:t>
      </w:r>
      <w:hyperlink r:id="rId11" w:anchor="l219" w:history="1">
        <w:r>
          <w:rPr>
            <w:rStyle w:val="a3"/>
            <w:rFonts w:ascii="Times New Roman" w:hAnsi="Times New Roman"/>
            <w:color w:val="auto"/>
            <w:sz w:val="24"/>
            <w:szCs w:val="24"/>
          </w:rPr>
          <w:t>5</w:t>
        </w:r>
      </w:hyperlink>
      <w:r>
        <w:rPr>
          <w:rFonts w:ascii="Times New Roman" w:hAnsi="Times New Roman"/>
          <w:sz w:val="24"/>
          <w:szCs w:val="24"/>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w:t>
      </w:r>
      <w:proofErr w:type="gramEnd"/>
      <w:r>
        <w:rPr>
          <w:rFonts w:ascii="Times New Roman" w:hAnsi="Times New Roman"/>
          <w:sz w:val="24"/>
          <w:szCs w:val="24"/>
        </w:rPr>
        <w:t xml:space="preserve"> дел Российской Федерации согласно </w:t>
      </w:r>
      <w:hyperlink r:id="rId12" w:anchor="l41" w:history="1">
        <w:r>
          <w:rPr>
            <w:rStyle w:val="a3"/>
            <w:rFonts w:ascii="Times New Roman" w:hAnsi="Times New Roman"/>
            <w:color w:val="auto"/>
            <w:sz w:val="24"/>
            <w:szCs w:val="24"/>
          </w:rPr>
          <w:t>подпункту "в"</w:t>
        </w:r>
      </w:hyperlink>
      <w:r>
        <w:rPr>
          <w:rFonts w:ascii="Times New Roman" w:hAnsi="Times New Roman"/>
          <w:sz w:val="24"/>
          <w:szCs w:val="24"/>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Условия реализации образовательной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образовательной программы.</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 программа предусматривает достаточный для формирования, закрепления и развития практических навыков и компетенций объем практики.</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 Учебный план</w:t>
      </w:r>
    </w:p>
    <w:p w:rsidR="006755FE" w:rsidRDefault="006755FE" w:rsidP="006755FE">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w:t>
      </w:r>
    </w:p>
    <w:tbl>
      <w:tblPr>
        <w:tblW w:w="0" w:type="auto"/>
        <w:jc w:val="center"/>
        <w:tblCellMar>
          <w:left w:w="0" w:type="dxa"/>
          <w:right w:w="0" w:type="dxa"/>
        </w:tblCellMar>
        <w:tblLook w:val="04A0" w:firstRow="1" w:lastRow="0" w:firstColumn="1" w:lastColumn="0" w:noHBand="0" w:noVBand="1"/>
      </w:tblPr>
      <w:tblGrid>
        <w:gridCol w:w="5606"/>
        <w:gridCol w:w="780"/>
        <w:gridCol w:w="1534"/>
        <w:gridCol w:w="1451"/>
      </w:tblGrid>
      <w:tr w:rsidR="006755FE" w:rsidTr="006755FE">
        <w:trPr>
          <w:jc w:val="center"/>
        </w:trPr>
        <w:tc>
          <w:tcPr>
            <w:tcW w:w="5918" w:type="dxa"/>
            <w:vMerge w:val="restart"/>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Учебные предметы</w:t>
            </w:r>
          </w:p>
        </w:tc>
        <w:tc>
          <w:tcPr>
            <w:tcW w:w="3787" w:type="dxa"/>
            <w:gridSpan w:val="3"/>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6755FE" w:rsidTr="006755FE">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6755FE" w:rsidRDefault="006755FE">
            <w:pPr>
              <w:spacing w:after="0" w:line="240" w:lineRule="auto"/>
              <w:rPr>
                <w:rFonts w:ascii="Times New Roman" w:hAnsi="Times New Roman"/>
                <w:sz w:val="24"/>
                <w:szCs w:val="24"/>
              </w:rPr>
            </w:pPr>
          </w:p>
        </w:tc>
        <w:tc>
          <w:tcPr>
            <w:tcW w:w="802" w:type="dxa"/>
            <w:vMerge w:val="restart"/>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6755FE" w:rsidTr="006755FE">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6755FE" w:rsidRDefault="006755FE">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755FE" w:rsidRDefault="006755FE">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6755FE" w:rsidTr="006755FE">
        <w:trPr>
          <w:jc w:val="center"/>
        </w:trPr>
        <w:tc>
          <w:tcPr>
            <w:tcW w:w="9705" w:type="dxa"/>
            <w:gridSpan w:val="4"/>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специального цикла</w:t>
            </w:r>
          </w:p>
        </w:tc>
      </w:tr>
      <w:tr w:rsidR="006755FE" w:rsidTr="006755FE">
        <w:trPr>
          <w:jc w:val="center"/>
        </w:trPr>
        <w:tc>
          <w:tcPr>
            <w:tcW w:w="5918"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"CE" как объектов управления</w:t>
            </w:r>
          </w:p>
        </w:tc>
        <w:tc>
          <w:tcPr>
            <w:tcW w:w="802"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6755FE" w:rsidTr="006755FE">
        <w:trPr>
          <w:jc w:val="center"/>
        </w:trPr>
        <w:tc>
          <w:tcPr>
            <w:tcW w:w="5918"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"CE"</w:t>
            </w:r>
          </w:p>
        </w:tc>
        <w:tc>
          <w:tcPr>
            <w:tcW w:w="802"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6755FE" w:rsidTr="006755FE">
        <w:trPr>
          <w:jc w:val="center"/>
        </w:trPr>
        <w:tc>
          <w:tcPr>
            <w:tcW w:w="5918"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транспортных средств категории "CE" (для транспортных средств с механической/автоматической трансмиссией)</w:t>
            </w:r>
          </w:p>
        </w:tc>
        <w:tc>
          <w:tcPr>
            <w:tcW w:w="802"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r>
      <w:tr w:rsidR="006755FE" w:rsidTr="006755FE">
        <w:trPr>
          <w:jc w:val="center"/>
        </w:trPr>
        <w:tc>
          <w:tcPr>
            <w:tcW w:w="9705" w:type="dxa"/>
            <w:gridSpan w:val="4"/>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r>
      <w:tr w:rsidR="006755FE" w:rsidTr="006755FE">
        <w:trPr>
          <w:jc w:val="center"/>
        </w:trPr>
        <w:tc>
          <w:tcPr>
            <w:tcW w:w="5918"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c>
          <w:tcPr>
            <w:tcW w:w="802"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6755FE" w:rsidTr="006755FE">
        <w:trPr>
          <w:jc w:val="center"/>
        </w:trPr>
        <w:tc>
          <w:tcPr>
            <w:tcW w:w="5918"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02"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w:t>
            </w:r>
          </w:p>
        </w:tc>
      </w:tr>
    </w:tbl>
    <w:p w:rsidR="006755FE" w:rsidRDefault="006755FE" w:rsidP="006755FE">
      <w:pPr>
        <w:widowControl w:val="0"/>
        <w:autoSpaceDE w:val="0"/>
        <w:autoSpaceDN w:val="0"/>
        <w:adjustRightInd w:val="0"/>
        <w:spacing w:after="0" w:line="240" w:lineRule="auto"/>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III. Рабочая программа учебных предметов</w:t>
      </w: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 Специальный цикл образовательной программы.</w:t>
      </w: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 Учебный предмет "Устройство и техническое обслуживание транспортных средств категории "CE" как объектов управления".</w:t>
      </w:r>
    </w:p>
    <w:p w:rsidR="006755FE" w:rsidRDefault="006755FE" w:rsidP="006755FE">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6755FE" w:rsidRDefault="006755FE" w:rsidP="006755FE">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2</w:t>
      </w:r>
    </w:p>
    <w:tbl>
      <w:tblPr>
        <w:tblW w:w="0" w:type="auto"/>
        <w:jc w:val="center"/>
        <w:tblCellMar>
          <w:left w:w="0" w:type="dxa"/>
          <w:right w:w="0" w:type="dxa"/>
        </w:tblCellMar>
        <w:tblLook w:val="04A0" w:firstRow="1" w:lastRow="0" w:firstColumn="1" w:lastColumn="0" w:noHBand="0" w:noVBand="1"/>
      </w:tblPr>
      <w:tblGrid>
        <w:gridCol w:w="5595"/>
        <w:gridCol w:w="791"/>
        <w:gridCol w:w="1534"/>
        <w:gridCol w:w="1451"/>
      </w:tblGrid>
      <w:tr w:rsidR="006755FE" w:rsidTr="006755FE">
        <w:trPr>
          <w:jc w:val="center"/>
        </w:trPr>
        <w:tc>
          <w:tcPr>
            <w:tcW w:w="5915" w:type="dxa"/>
            <w:vMerge w:val="restart"/>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790" w:type="dxa"/>
            <w:gridSpan w:val="3"/>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6755FE" w:rsidTr="006755FE">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6755FE" w:rsidRDefault="006755FE">
            <w:pPr>
              <w:spacing w:after="0" w:line="240" w:lineRule="auto"/>
              <w:rPr>
                <w:rFonts w:ascii="Times New Roman" w:hAnsi="Times New Roman"/>
                <w:sz w:val="24"/>
                <w:szCs w:val="24"/>
              </w:rPr>
            </w:pPr>
          </w:p>
        </w:tc>
        <w:tc>
          <w:tcPr>
            <w:tcW w:w="805" w:type="dxa"/>
            <w:vMerge w:val="restart"/>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6755FE" w:rsidTr="006755FE">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6755FE" w:rsidRDefault="006755FE">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755FE" w:rsidRDefault="006755FE">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6755FE" w:rsidTr="006755FE">
        <w:trPr>
          <w:jc w:val="center"/>
        </w:trPr>
        <w:tc>
          <w:tcPr>
            <w:tcW w:w="9705" w:type="dxa"/>
            <w:gridSpan w:val="4"/>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транспортных средств</w:t>
            </w:r>
          </w:p>
        </w:tc>
      </w:tr>
      <w:tr w:rsidR="006755FE" w:rsidTr="006755FE">
        <w:trPr>
          <w:jc w:val="center"/>
        </w:trPr>
        <w:tc>
          <w:tcPr>
            <w:tcW w:w="591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прицепов, тягово-сцепных и опорно-сцепных устройств</w:t>
            </w:r>
          </w:p>
        </w:tc>
        <w:tc>
          <w:tcPr>
            <w:tcW w:w="80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6755FE" w:rsidTr="006755FE">
        <w:trPr>
          <w:jc w:val="center"/>
        </w:trPr>
        <w:tc>
          <w:tcPr>
            <w:tcW w:w="591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0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6755FE" w:rsidTr="006755FE">
        <w:trPr>
          <w:jc w:val="center"/>
        </w:trPr>
        <w:tc>
          <w:tcPr>
            <w:tcW w:w="9705" w:type="dxa"/>
            <w:gridSpan w:val="4"/>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Техническое обслуживание</w:t>
            </w:r>
          </w:p>
        </w:tc>
      </w:tr>
      <w:tr w:rsidR="006755FE" w:rsidTr="006755FE">
        <w:trPr>
          <w:jc w:val="center"/>
        </w:trPr>
        <w:tc>
          <w:tcPr>
            <w:tcW w:w="591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Техническое обслуживание прицепов, тягово-сцепных и опорно-сцепных устройств</w:t>
            </w:r>
          </w:p>
        </w:tc>
        <w:tc>
          <w:tcPr>
            <w:tcW w:w="80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6755FE" w:rsidTr="006755FE">
        <w:trPr>
          <w:jc w:val="center"/>
        </w:trPr>
        <w:tc>
          <w:tcPr>
            <w:tcW w:w="591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Подготовка автопоезда к движению</w:t>
            </w:r>
          </w:p>
        </w:tc>
        <w:tc>
          <w:tcPr>
            <w:tcW w:w="80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6755FE" w:rsidTr="006755FE">
        <w:trPr>
          <w:jc w:val="center"/>
        </w:trPr>
        <w:tc>
          <w:tcPr>
            <w:tcW w:w="591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0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6755FE" w:rsidTr="006755FE">
        <w:trPr>
          <w:jc w:val="center"/>
        </w:trPr>
        <w:tc>
          <w:tcPr>
            <w:tcW w:w="591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0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bl>
    <w:p w:rsidR="006755FE" w:rsidRDefault="006755FE" w:rsidP="006755F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Качество усвоения материала по учебному предмету оценивается преподавателем по итогам промежуточной аттестации.</w:t>
      </w: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3.1.1.1. Устройство транспортных средств.</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прицепов: классификация прицепов; краткие технические характеристики прицепов категории O3, общее устройство прицепа, виды подвесок, применяемых на прицепах, назначение и устройство рабочей тормозной системы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rsidR="006755FE" w:rsidRDefault="006755FE" w:rsidP="006755FE">
      <w:pPr>
        <w:widowControl w:val="0"/>
        <w:autoSpaceDE w:val="0"/>
        <w:autoSpaceDN w:val="0"/>
        <w:adjustRightInd w:val="0"/>
        <w:spacing w:after="0" w:line="240" w:lineRule="auto"/>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3.1.1.2. Техническое обслуживание.</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Техническое обслуживание прицепов: виды и периодичность технического обслуживания прицепов, контрольный осмотр и ежедневное техническое обслуживание прицепов, подготовка прицепа к техническому осмотру.</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Подготовка автопоезда к движению: проверка наличия смазки в механизме узла сцепки, проверка и доведение до нормы давления воздуха в шинах колес, проверка надежности соединения страховочных тросов (цепей), проверка работы внешних световых приборов прицепа.</w:t>
      </w: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 Учебный предмет "Основы управления транспортными средствами категории "CE".</w:t>
      </w:r>
    </w:p>
    <w:p w:rsidR="006755FE" w:rsidRDefault="006755FE" w:rsidP="006755FE">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В электронном документе нумерация подпунктов соответствует официальному источнику.</w:t>
      </w:r>
    </w:p>
    <w:p w:rsidR="006755FE" w:rsidRDefault="006755FE" w:rsidP="006755FE">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6755FE" w:rsidRDefault="006755FE" w:rsidP="006755FE">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3</w:t>
      </w:r>
    </w:p>
    <w:tbl>
      <w:tblPr>
        <w:tblW w:w="0" w:type="auto"/>
        <w:jc w:val="center"/>
        <w:tblCellMar>
          <w:left w:w="0" w:type="dxa"/>
          <w:right w:w="0" w:type="dxa"/>
        </w:tblCellMar>
        <w:tblLook w:val="04A0" w:firstRow="1" w:lastRow="0" w:firstColumn="1" w:lastColumn="0" w:noHBand="0" w:noVBand="1"/>
      </w:tblPr>
      <w:tblGrid>
        <w:gridCol w:w="5595"/>
        <w:gridCol w:w="791"/>
        <w:gridCol w:w="1534"/>
        <w:gridCol w:w="1451"/>
      </w:tblGrid>
      <w:tr w:rsidR="006755FE" w:rsidTr="006755FE">
        <w:trPr>
          <w:jc w:val="center"/>
        </w:trPr>
        <w:tc>
          <w:tcPr>
            <w:tcW w:w="5915" w:type="dxa"/>
            <w:vMerge w:val="restart"/>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790" w:type="dxa"/>
            <w:gridSpan w:val="3"/>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6755FE" w:rsidTr="006755FE">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6755FE" w:rsidRDefault="006755FE">
            <w:pPr>
              <w:spacing w:after="0" w:line="240" w:lineRule="auto"/>
              <w:rPr>
                <w:rFonts w:ascii="Times New Roman" w:hAnsi="Times New Roman"/>
                <w:sz w:val="24"/>
                <w:szCs w:val="24"/>
              </w:rPr>
            </w:pPr>
          </w:p>
        </w:tc>
        <w:tc>
          <w:tcPr>
            <w:tcW w:w="805" w:type="dxa"/>
            <w:vMerge w:val="restart"/>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6755FE" w:rsidTr="006755FE">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6755FE" w:rsidRDefault="006755FE">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755FE" w:rsidRDefault="006755FE">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6755FE" w:rsidTr="006755FE">
        <w:trPr>
          <w:jc w:val="center"/>
        </w:trPr>
        <w:tc>
          <w:tcPr>
            <w:tcW w:w="591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Особенности управления автопоездом в штатных ситуациях</w:t>
            </w:r>
          </w:p>
        </w:tc>
        <w:tc>
          <w:tcPr>
            <w:tcW w:w="80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591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Особенности управления автопоездом в нештатных ситуациях</w:t>
            </w:r>
          </w:p>
        </w:tc>
        <w:tc>
          <w:tcPr>
            <w:tcW w:w="80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6755FE" w:rsidTr="006755FE">
        <w:trPr>
          <w:jc w:val="center"/>
        </w:trPr>
        <w:tc>
          <w:tcPr>
            <w:tcW w:w="591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05"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451"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bl>
    <w:p w:rsidR="006755FE" w:rsidRDefault="006755FE" w:rsidP="006755FE">
      <w:pPr>
        <w:widowControl w:val="0"/>
        <w:autoSpaceDE w:val="0"/>
        <w:autoSpaceDN w:val="0"/>
        <w:adjustRightInd w:val="0"/>
        <w:spacing w:after="0" w:line="240" w:lineRule="auto"/>
        <w:jc w:val="both"/>
        <w:rPr>
          <w:rFonts w:ascii="Times New Roman" w:hAnsi="Times New Roman"/>
          <w:sz w:val="24"/>
          <w:szCs w:val="24"/>
        </w:rPr>
      </w:pPr>
    </w:p>
    <w:p w:rsidR="006755FE" w:rsidRDefault="006755FE" w:rsidP="006755FE">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Особенности управления автопоездом в штатных ситуациях: причины возникновения поперечных колебаний прицепа во время автопоезда; управление автопоездом при прохождении поворотов различного радиуса; выбор безопасной скорости и траектории движения; управление автопоездом при обгоне, опережении и встречном разъезде; маневрирование автопоезда в ограниченном пространстве; управление автопоездом при движении задним ходом; предотвращение "складывания" автопоезда при движении задним ходом;</w:t>
      </w:r>
      <w:proofErr w:type="gramEnd"/>
      <w:r>
        <w:rPr>
          <w:rFonts w:ascii="Times New Roman" w:hAnsi="Times New Roman"/>
          <w:sz w:val="24"/>
          <w:szCs w:val="24"/>
        </w:rPr>
        <w:t xml:space="preserve"> </w:t>
      </w:r>
      <w:proofErr w:type="gramStart"/>
      <w:r>
        <w:rPr>
          <w:rFonts w:ascii="Times New Roman" w:hAnsi="Times New Roman"/>
          <w:sz w:val="24"/>
          <w:szCs w:val="24"/>
        </w:rPr>
        <w:t>обеспечение безопасности при движении автопоезда задним ходом; особенности управления автопоезда в горной местности, на крутых подъемах и спусках; особенности управления автопоездом при движении по дороге с низким коэффициентом сцепления дорожного покрытия (в гололедицу); перевозка грузов в прицепах различного назначения; оптимальное размещение и крепление перевозимого груза; особенности управления автопоездом в зависимости от характеристик перевозимого груза;</w:t>
      </w:r>
      <w:proofErr w:type="gramEnd"/>
      <w:r>
        <w:rPr>
          <w:rFonts w:ascii="Times New Roman" w:hAnsi="Times New Roman"/>
          <w:sz w:val="24"/>
          <w:szCs w:val="24"/>
        </w:rPr>
        <w:t xml:space="preserve"> особенности управления автоцистерной. Решение ситуационных задач.</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Особенности управления автопоездом в нештатных ситуациях: причины ухудшения курсовой устойчивости и "складывания" автопоезда при торможении; причины возникновения заноса и сноса прицепа; действия водителя с учетом типа привода тягача по предотвращению и прекращению заноса и сноса прицепа; действия водителя с учетом типа привода тягача при превышении безопасной скорости на входе автопоезда в поворот.</w:t>
      </w:r>
      <w:proofErr w:type="gramEnd"/>
      <w:r>
        <w:rPr>
          <w:rFonts w:ascii="Times New Roman" w:hAnsi="Times New Roman"/>
          <w:sz w:val="24"/>
          <w:szCs w:val="24"/>
        </w:rPr>
        <w:t xml:space="preserve"> Решение ситуационных задач.</w:t>
      </w: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b/>
          <w:bCs/>
          <w:sz w:val="32"/>
          <w:szCs w:val="32"/>
        </w:rPr>
      </w:pP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3.3.1. Учебный предмет "Вождение транспортных средств категории "CE".</w:t>
      </w:r>
    </w:p>
    <w:p w:rsidR="006755FE" w:rsidRDefault="006755FE" w:rsidP="006755FE">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6755FE" w:rsidRDefault="006755FE" w:rsidP="006755FE">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4</w:t>
      </w:r>
    </w:p>
    <w:tbl>
      <w:tblPr>
        <w:tblW w:w="0" w:type="auto"/>
        <w:jc w:val="center"/>
        <w:tblCellMar>
          <w:left w:w="0" w:type="dxa"/>
          <w:right w:w="0" w:type="dxa"/>
        </w:tblCellMar>
        <w:tblLook w:val="04A0" w:firstRow="1" w:lastRow="0" w:firstColumn="1" w:lastColumn="0" w:noHBand="0" w:noVBand="1"/>
      </w:tblPr>
      <w:tblGrid>
        <w:gridCol w:w="7290"/>
        <w:gridCol w:w="1710"/>
      </w:tblGrid>
      <w:tr w:rsidR="006755FE" w:rsidTr="006755FE">
        <w:trPr>
          <w:jc w:val="center"/>
        </w:trPr>
        <w:tc>
          <w:tcPr>
            <w:tcW w:w="729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заданий</w:t>
            </w:r>
          </w:p>
        </w:tc>
        <w:tc>
          <w:tcPr>
            <w:tcW w:w="171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6755FE" w:rsidTr="006755FE">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6755FE" w:rsidTr="006755FE">
        <w:trPr>
          <w:jc w:val="center"/>
        </w:trPr>
        <w:tc>
          <w:tcPr>
            <w:tcW w:w="729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Приемы управления транспортным автопоездом</w:t>
            </w:r>
          </w:p>
        </w:tc>
        <w:tc>
          <w:tcPr>
            <w:tcW w:w="171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r>
      <w:tr w:rsidR="006755FE" w:rsidTr="006755FE">
        <w:trPr>
          <w:jc w:val="center"/>
        </w:trPr>
        <w:tc>
          <w:tcPr>
            <w:tcW w:w="729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автопоездом в ограниченных проездах</w:t>
            </w:r>
          </w:p>
        </w:tc>
        <w:tc>
          <w:tcPr>
            <w:tcW w:w="171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r>
      <w:tr w:rsidR="006755FE" w:rsidTr="006755FE">
        <w:trPr>
          <w:jc w:val="center"/>
        </w:trPr>
        <w:tc>
          <w:tcPr>
            <w:tcW w:w="729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6755FE" w:rsidTr="006755FE">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Обучение вождению в условиях дорожного движения</w:t>
            </w:r>
          </w:p>
        </w:tc>
      </w:tr>
      <w:tr w:rsidR="006755FE" w:rsidTr="006755FE">
        <w:trPr>
          <w:jc w:val="center"/>
        </w:trPr>
        <w:tc>
          <w:tcPr>
            <w:tcW w:w="729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6755FE" w:rsidTr="006755FE">
        <w:trPr>
          <w:jc w:val="center"/>
        </w:trPr>
        <w:tc>
          <w:tcPr>
            <w:tcW w:w="729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6755FE" w:rsidTr="006755FE">
        <w:trPr>
          <w:jc w:val="center"/>
        </w:trPr>
        <w:tc>
          <w:tcPr>
            <w:tcW w:w="729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r>
    </w:tbl>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3.3.1.1. Первоначальное обучение вождению.</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Приемы управления автопоездом: подготовка к выезду, сцепка автопоезда, проверка технического состояния автопоезда,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различных способов торможения; начало движения, движение с поворотами направо, налево и разворотом для движения в обратном направлении;</w:t>
      </w:r>
      <w:proofErr w:type="gramEnd"/>
      <w:r>
        <w:rPr>
          <w:rFonts w:ascii="Times New Roman" w:hAnsi="Times New Roman"/>
          <w:sz w:val="24"/>
          <w:szCs w:val="24"/>
        </w:rPr>
        <w:t xml:space="preserve"> </w:t>
      </w:r>
      <w:proofErr w:type="gramStart"/>
      <w:r>
        <w:rPr>
          <w:rFonts w:ascii="Times New Roman" w:hAnsi="Times New Roman"/>
          <w:sz w:val="24"/>
          <w:szCs w:val="24"/>
        </w:rPr>
        <w:t>начало движения вперед, движение по прямой, остановка,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движение задним ходом с поворотами направо и налево, контролирование траектории и безопасности движения через зеркала заднего вида, остановка, расцепка автопоезда.</w:t>
      </w:r>
      <w:proofErr w:type="gramEnd"/>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Управление автопоездом в ограниченных проездах: повороты налево и направо на 90 градусов при ограниченной ширине полосы движения (при движении вперед); </w:t>
      </w:r>
      <w:proofErr w:type="gramStart"/>
      <w:r>
        <w:rPr>
          <w:rFonts w:ascii="Times New Roman" w:hAnsi="Times New Roman"/>
          <w:sz w:val="24"/>
          <w:szCs w:val="24"/>
        </w:rPr>
        <w:t>начало движения задним ходом, въезд в "габаритный коридор" с поворотом на 90 градусов направо (налево), движение в "габаритном коридоре", подъезд задним бортом к имитатору погрузочной платформы (ряду стоек), остановка перед имитатором погрузочной платформы, выезд из "габаритного коридора" передним ходом в сторону, противоположную въезду в "габаритный коридор", остановка, начало движения задним ходом;</w:t>
      </w:r>
      <w:proofErr w:type="gramEnd"/>
      <w:r>
        <w:rPr>
          <w:rFonts w:ascii="Times New Roman" w:hAnsi="Times New Roman"/>
          <w:sz w:val="24"/>
          <w:szCs w:val="24"/>
        </w:rPr>
        <w:t xml:space="preserve"> </w:t>
      </w:r>
      <w:proofErr w:type="gramStart"/>
      <w:r>
        <w:rPr>
          <w:rFonts w:ascii="Times New Roman" w:hAnsi="Times New Roman"/>
          <w:sz w:val="24"/>
          <w:szCs w:val="24"/>
        </w:rPr>
        <w:t>проезд перекрестка и железнодорожного переезда; развороты без применения и с применением заднего хода; начало движения задним ходом, движение по прямой в "габаритном коридоре" задним ходом, остановка, начало движения передним ходом, движение по прямой в "габаритном коридоре" передним ходом, остановка.</w:t>
      </w:r>
      <w:proofErr w:type="gramEnd"/>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3.3.1.2. Обучение вождению в условиях дорожного движения.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по учебным маршрутам: подготовка к началу движения, выезд на дорогу с </w:t>
      </w:r>
      <w:r>
        <w:rPr>
          <w:rFonts w:ascii="Times New Roman" w:hAnsi="Times New Roman"/>
          <w:sz w:val="24"/>
          <w:szCs w:val="24"/>
        </w:rPr>
        <w:lastRenderedPageBreak/>
        <w:t>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подготовка к началу движения, выезд на дорогу с прилегающей территории, движение в транспортном потоке,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подготовка к началу движения, выезд на дорогу с прилегающей территории, движение в транспортном потоке, проезд регулируемых и нерегулируемых перекрестков в прямом направлении, с поворотами направо и налево, разворотом для движения в обратном направлении.</w:t>
      </w: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IV. Планируемые результаты освоения образовательной программы</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результате освоения образовательной </w:t>
      </w:r>
      <w:proofErr w:type="gramStart"/>
      <w:r>
        <w:rPr>
          <w:rFonts w:ascii="Times New Roman" w:hAnsi="Times New Roman"/>
          <w:sz w:val="24"/>
          <w:szCs w:val="24"/>
        </w:rPr>
        <w:t>программы</w:t>
      </w:r>
      <w:proofErr w:type="gramEnd"/>
      <w:r>
        <w:rPr>
          <w:rFonts w:ascii="Times New Roman" w:hAnsi="Times New Roman"/>
          <w:sz w:val="24"/>
          <w:szCs w:val="24"/>
        </w:rPr>
        <w:t xml:space="preserve"> обучающиеся должны знать:</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hyperlink r:id="rId13" w:anchor="l12" w:history="1">
        <w:r>
          <w:rPr>
            <w:rStyle w:val="a3"/>
            <w:rFonts w:ascii="Times New Roman" w:hAnsi="Times New Roman"/>
            <w:color w:val="auto"/>
            <w:sz w:val="24"/>
            <w:szCs w:val="24"/>
          </w:rPr>
          <w:t>Правила</w:t>
        </w:r>
      </w:hyperlink>
      <w:r>
        <w:rPr>
          <w:rFonts w:ascii="Times New Roman" w:hAnsi="Times New Roman"/>
          <w:sz w:val="24"/>
          <w:szCs w:val="24"/>
        </w:rPr>
        <w:t xml:space="preserve"> дорожного движения;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 и перевозок пассажиров и багажа;</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безопасного управления составом транспортных средств;</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назначение, устройство и разновидности тягово-сцепных устройств тягачей;</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перечень неисправностей и условий, при наличии которых запрещается эксплуатация прицепа;</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погрузки, разгрузки, размещения и крепления грузовых мест, багажа в прицепе, опасность и последствия перемещения груза;</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особенности управления составом транспортных сре</w:t>
      </w:r>
      <w:proofErr w:type="gramStart"/>
      <w:r>
        <w:rPr>
          <w:rFonts w:ascii="Times New Roman" w:hAnsi="Times New Roman"/>
          <w:sz w:val="24"/>
          <w:szCs w:val="24"/>
        </w:rPr>
        <w:t>дств в шт</w:t>
      </w:r>
      <w:proofErr w:type="gramEnd"/>
      <w:r>
        <w:rPr>
          <w:rFonts w:ascii="Times New Roman" w:hAnsi="Times New Roman"/>
          <w:sz w:val="24"/>
          <w:szCs w:val="24"/>
        </w:rPr>
        <w:t>атных и нештатных ситуациях.</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результате освоения образовательной </w:t>
      </w:r>
      <w:proofErr w:type="gramStart"/>
      <w:r>
        <w:rPr>
          <w:rFonts w:ascii="Times New Roman" w:hAnsi="Times New Roman"/>
          <w:sz w:val="24"/>
          <w:szCs w:val="24"/>
        </w:rPr>
        <w:t>программы</w:t>
      </w:r>
      <w:proofErr w:type="gramEnd"/>
      <w:r>
        <w:rPr>
          <w:rFonts w:ascii="Times New Roman" w:hAnsi="Times New Roman"/>
          <w:sz w:val="24"/>
          <w:szCs w:val="24"/>
        </w:rPr>
        <w:t xml:space="preserve"> обучающиеся должны уметь:</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безопасно и эффективно управлять составом транспортных сре</w:t>
      </w:r>
      <w:proofErr w:type="gramStart"/>
      <w:r>
        <w:rPr>
          <w:rFonts w:ascii="Times New Roman" w:hAnsi="Times New Roman"/>
          <w:sz w:val="24"/>
          <w:szCs w:val="24"/>
        </w:rPr>
        <w:t>дств в р</w:t>
      </w:r>
      <w:proofErr w:type="gramEnd"/>
      <w:r>
        <w:rPr>
          <w:rFonts w:ascii="Times New Roman" w:hAnsi="Times New Roman"/>
          <w:sz w:val="24"/>
          <w:szCs w:val="24"/>
        </w:rPr>
        <w:t>азличных условиях движения;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соблюдать Правила дорожного движения при управлении составом транспортных средств;</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ежедневное техническое обслуживание состава транспортных средств;</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устранять мелкие неисправности в процессе эксплуатации состава транспортных средств, не требующие разборки узлов и агрегатов;</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прогнозировать и предотвращать возникновение опасных дорожно-транспортных ситуаций в процессе управления составом транспортных средств;</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своевременно принимать правильные решения и уверенно действовать в сложных и опасных дорожных ситуациях;</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совершенствовать свои навыки управления составом транспортных средств.</w:t>
      </w: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 Условия реализации образовательной программы</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w:t>
      </w:r>
      <w:r>
        <w:rPr>
          <w:rFonts w:ascii="Times New Roman" w:hAnsi="Times New Roman"/>
          <w:sz w:val="24"/>
          <w:szCs w:val="24"/>
        </w:rPr>
        <w:lastRenderedPageBreak/>
        <w:t>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Необходимость применения АПК определяется организацией, осуществляющей образовательную деятельность, самостоятельно.</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14" w:anchor="l85" w:history="1">
        <w:r>
          <w:rPr>
            <w:rStyle w:val="a3"/>
            <w:rFonts w:ascii="Times New Roman" w:hAnsi="Times New Roman"/>
            <w:color w:val="auto"/>
            <w:sz w:val="24"/>
            <w:szCs w:val="24"/>
          </w:rPr>
          <w:t>пунктом 1</w:t>
        </w:r>
      </w:hyperlink>
      <w:r>
        <w:rPr>
          <w:rFonts w:ascii="Times New Roman" w:hAnsi="Times New Roman"/>
          <w:sz w:val="24"/>
          <w:szCs w:val="24"/>
        </w:rPr>
        <w:t xml:space="preserve"> статьи 16 и </w:t>
      </w:r>
      <w:hyperlink r:id="rId15" w:anchor="l903" w:history="1">
        <w:r>
          <w:rPr>
            <w:rStyle w:val="a3"/>
            <w:rFonts w:ascii="Times New Roman" w:hAnsi="Times New Roman"/>
            <w:color w:val="auto"/>
            <w:sz w:val="24"/>
            <w:szCs w:val="24"/>
          </w:rPr>
          <w:t>пунктом 1</w:t>
        </w:r>
      </w:hyperlink>
      <w:r>
        <w:rPr>
          <w:rFonts w:ascii="Times New Roman" w:hAnsi="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16" w:anchor="l134" w:history="1">
        <w:r>
          <w:rPr>
            <w:rStyle w:val="a3"/>
            <w:rFonts w:ascii="Times New Roman" w:hAnsi="Times New Roman"/>
            <w:color w:val="auto"/>
            <w:sz w:val="24"/>
            <w:szCs w:val="24"/>
          </w:rPr>
          <w:t>подпунктом "б"</w:t>
        </w:r>
      </w:hyperlink>
      <w:r>
        <w:rPr>
          <w:rFonts w:ascii="Times New Roman" w:hAnsi="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w:t>
      </w:r>
      <w:proofErr w:type="gramEnd"/>
      <w:r>
        <w:rPr>
          <w:rFonts w:ascii="Times New Roman" w:hAnsi="Times New Roman"/>
          <w:sz w:val="24"/>
          <w:szCs w:val="24"/>
        </w:rPr>
        <w:t xml:space="preserve">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Теоретическое обучение проводится в оборудованных учебных кабинетах.</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Наполняемость учебной группы не должна превышать 30 человек.</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Расчетная формула для определения общего числа учебных кабинетов для теоретического обучения:</w:t>
      </w:r>
    </w:p>
    <w:p w:rsidR="006755FE" w:rsidRDefault="006755FE" w:rsidP="006755FE">
      <w:pPr>
        <w:widowControl w:val="0"/>
        <w:autoSpaceDE w:val="0"/>
        <w:autoSpaceDN w:val="0"/>
        <w:adjustRightInd w:val="0"/>
        <w:spacing w:after="0" w:line="240" w:lineRule="auto"/>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6755FE" w:rsidRDefault="006755FE" w:rsidP="006755FE">
      <w:pPr>
        <w:widowControl w:val="0"/>
        <w:autoSpaceDE w:val="0"/>
        <w:autoSpaceDN w:val="0"/>
        <w:adjustRightInd w:val="0"/>
        <w:spacing w:after="0" w:line="240" w:lineRule="auto"/>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 xml:space="preserve"> - число необходимых помещений;</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расчетное учебное время полного курса теоретического обучения на одну группу в часах;</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 общее число групп;</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0,75 - постоянный коэффициент (загрузка учебного кабинета принимается </w:t>
      </w:r>
      <w:proofErr w:type="gramStart"/>
      <w:r>
        <w:rPr>
          <w:rFonts w:ascii="Times New Roman" w:hAnsi="Times New Roman"/>
          <w:sz w:val="24"/>
          <w:szCs w:val="24"/>
        </w:rPr>
        <w:t>равной</w:t>
      </w:r>
      <w:proofErr w:type="gramEnd"/>
      <w:r>
        <w:rPr>
          <w:rFonts w:ascii="Times New Roman" w:hAnsi="Times New Roman"/>
          <w:sz w:val="24"/>
          <w:szCs w:val="24"/>
        </w:rPr>
        <w:t xml:space="preserve"> 75%);</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фонд времени использования помещения в часах.</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Первоначальное обучение вождению транспортных средств должно проводиться на закрытых площадках или автодромах.</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0" w:anchor="l12" w:history="1">
        <w:r>
          <w:rPr>
            <w:rStyle w:val="a3"/>
            <w:rFonts w:ascii="Times New Roman" w:hAnsi="Times New Roman"/>
            <w:color w:val="auto"/>
            <w:sz w:val="24"/>
            <w:szCs w:val="24"/>
          </w:rPr>
          <w:t>Правил</w:t>
        </w:r>
      </w:hyperlink>
      <w:r>
        <w:rPr>
          <w:rFonts w:ascii="Times New Roman" w:hAnsi="Times New Roman"/>
          <w:sz w:val="24"/>
          <w:szCs w:val="24"/>
        </w:rPr>
        <w:t xml:space="preserve"> дорожного движения.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1" w:anchor="l68" w:history="1">
        <w:r>
          <w:rPr>
            <w:rStyle w:val="a3"/>
            <w:rFonts w:ascii="Times New Roman" w:hAnsi="Times New Roman"/>
            <w:color w:val="auto"/>
            <w:sz w:val="24"/>
            <w:szCs w:val="24"/>
          </w:rPr>
          <w:t>пункте 3.1</w:t>
        </w:r>
      </w:hyperlink>
      <w:r>
        <w:rPr>
          <w:rFonts w:ascii="Times New Roman" w:hAnsi="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w:t>
      </w:r>
      <w:proofErr w:type="gramEnd"/>
      <w:r>
        <w:rPr>
          <w:rFonts w:ascii="Times New Roman" w:hAnsi="Times New Roman"/>
          <w:sz w:val="24"/>
          <w:szCs w:val="24"/>
        </w:rPr>
        <w:t xml:space="preserve">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Транспортное средство, используемое для обучения вождению, должно соответствовать материально-техническим условиям, предусмотренным пунктом 5.4 образовательной программы.</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2" w:anchor="l0" w:history="1">
        <w:r>
          <w:rPr>
            <w:rStyle w:val="a3"/>
            <w:rFonts w:ascii="Times New Roman" w:hAnsi="Times New Roman"/>
            <w:color w:val="auto"/>
            <w:sz w:val="24"/>
            <w:szCs w:val="24"/>
          </w:rPr>
          <w:t>от 26 августа 2010 г. N 761н</w:t>
        </w:r>
      </w:hyperlink>
      <w:r>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Pr>
          <w:rFonts w:ascii="Times New Roman" w:hAnsi="Times New Roman"/>
          <w:sz w:val="24"/>
          <w:szCs w:val="24"/>
        </w:rPr>
        <w:t xml:space="preserve"> Российской Федерации от 31 мая 2011 г. N 448н (зарегистрирован Министерством юстиции Российской Федерации 1 июля 2011 г., регистрационный N 21240).</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Мастер производственного обучения должен удовлетворять требованиям профессионального </w:t>
      </w:r>
      <w:hyperlink r:id="rId23" w:anchor="l14" w:history="1">
        <w:r>
          <w:rPr>
            <w:rStyle w:val="a3"/>
            <w:rFonts w:ascii="Times New Roman" w:hAnsi="Times New Roman"/>
            <w:color w:val="auto"/>
            <w:sz w:val="24"/>
            <w:szCs w:val="24"/>
          </w:rPr>
          <w:t>стандарта</w:t>
        </w:r>
      </w:hyperlink>
      <w:r>
        <w:rPr>
          <w:rFonts w:ascii="Times New Roman" w:hAnsi="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5.3. Информационно-методические условия реализации образовательной программы включают:</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   календарный учебный график;</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рабочие программы учебных предметов;</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методические материалы и разработки;</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расписание занятий.</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5.4. Материально-технические условия реализации образовательной программы.</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должен обеспечивать оценку и возможность повышать уровень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его психоэмоционального состояния в процессе управления транспортным средством. Оценка уровня развития профессионально важных каче</w:t>
      </w:r>
      <w:proofErr w:type="gramStart"/>
      <w:r>
        <w:rPr>
          <w:rFonts w:ascii="Times New Roman" w:hAnsi="Times New Roman"/>
          <w:sz w:val="24"/>
          <w:szCs w:val="24"/>
        </w:rPr>
        <w:t>ств пр</w:t>
      </w:r>
      <w:proofErr w:type="gramEnd"/>
      <w:r>
        <w:rPr>
          <w:rFonts w:ascii="Times New Roman" w:hAnsi="Times New Roman"/>
          <w:sz w:val="24"/>
          <w:szCs w:val="24"/>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rFonts w:ascii="Times New Roman" w:hAnsi="Times New Roman"/>
          <w:sz w:val="24"/>
          <w:szCs w:val="24"/>
        </w:rPr>
        <w:t>монотоноустойчивость</w:t>
      </w:r>
      <w:proofErr w:type="spellEnd"/>
      <w:r>
        <w:rPr>
          <w:rFonts w:ascii="Times New Roman" w:hAnsi="Times New Roman"/>
          <w:sz w:val="24"/>
          <w:szCs w:val="24"/>
        </w:rPr>
        <w:t>).</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для формирования у водителей навыков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психоэмоционального состояния должны предоставлять возможности для обучения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при наиболее часто встречающихся состояниях: эмоциональной напряженности, </w:t>
      </w:r>
      <w:proofErr w:type="spellStart"/>
      <w:r>
        <w:rPr>
          <w:rFonts w:ascii="Times New Roman" w:hAnsi="Times New Roman"/>
          <w:sz w:val="24"/>
          <w:szCs w:val="24"/>
        </w:rPr>
        <w:t>монотонии</w:t>
      </w:r>
      <w:proofErr w:type="spellEnd"/>
      <w:r>
        <w:rPr>
          <w:rFonts w:ascii="Times New Roman" w:hAnsi="Times New Roman"/>
          <w:sz w:val="24"/>
          <w:szCs w:val="24"/>
        </w:rPr>
        <w:t>, утомлении, стрессе и тренировке свойств внимания (концентрации, распределения).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АПК должен обеспечивать защиту персональных данных.</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Учебные транспортные средства категории "CE" должны быть представлены механическими транспортными средствами и прицепами, относящимися к одной из категорий O2, O3, O4 (не менее одного),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w:t>
      </w:r>
      <w:proofErr w:type="gramEnd"/>
      <w:r>
        <w:rPr>
          <w:rFonts w:ascii="Times New Roman" w:hAnsi="Times New Roman"/>
          <w:sz w:val="24"/>
          <w:szCs w:val="24"/>
        </w:rPr>
        <w:t xml:space="preserve"> </w:t>
      </w:r>
      <w:proofErr w:type="gramStart"/>
      <w:r>
        <w:rPr>
          <w:rFonts w:ascii="Times New Roman" w:hAnsi="Times New Roman"/>
          <w:sz w:val="24"/>
          <w:szCs w:val="24"/>
        </w:rPr>
        <w:t xml:space="preserve">соответствии с </w:t>
      </w:r>
      <w:hyperlink r:id="rId24" w:anchor="l3163" w:history="1">
        <w:r>
          <w:rPr>
            <w:rStyle w:val="a3"/>
            <w:rFonts w:ascii="Times New Roman" w:hAnsi="Times New Roman"/>
            <w:color w:val="auto"/>
            <w:sz w:val="24"/>
            <w:szCs w:val="24"/>
          </w:rPr>
          <w:t>пунктом 1</w:t>
        </w:r>
      </w:hyperlink>
      <w:r>
        <w:rPr>
          <w:rFonts w:ascii="Times New Roman" w:hAnsi="Times New Roman"/>
          <w:sz w:val="24"/>
          <w:szCs w:val="24"/>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roofErr w:type="gramEnd"/>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 количества необходимых механических транспортных средств осуществляется по формуле:</w:t>
      </w:r>
    </w:p>
    <w:p w:rsidR="006755FE" w:rsidRDefault="006755FE" w:rsidP="006755FE">
      <w:pPr>
        <w:widowControl w:val="0"/>
        <w:autoSpaceDE w:val="0"/>
        <w:autoSpaceDN w:val="0"/>
        <w:adjustRightInd w:val="0"/>
        <w:spacing w:after="0" w:line="240" w:lineRule="auto"/>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6755FE" w:rsidRDefault="006755FE" w:rsidP="006755FE">
      <w:pPr>
        <w:widowControl w:val="0"/>
        <w:autoSpaceDE w:val="0"/>
        <w:autoSpaceDN w:val="0"/>
        <w:adjustRightInd w:val="0"/>
        <w:spacing w:after="0" w:line="240" w:lineRule="auto"/>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где:</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274320" cy="220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Pr>
          <w:rFonts w:ascii="Times New Roman" w:hAnsi="Times New Roman"/>
          <w:sz w:val="24"/>
          <w:szCs w:val="24"/>
        </w:rPr>
        <w:t xml:space="preserve">  - количество автотранспортных средств;</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количество часов вождения в соответствии с учебным планом;</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K - количество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в год;</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24,5 - среднее количество рабочих дней в месяц;</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 количество рабочих месяцев в году;</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 количество резервных учебных транспортных средств.</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Механическое транспортное средство, используемое для обучения вождению, согласно </w:t>
      </w:r>
      <w:hyperlink r:id="rId27" w:anchor="l521" w:history="1">
        <w:r>
          <w:rPr>
            <w:rStyle w:val="a3"/>
            <w:rFonts w:ascii="Times New Roman" w:hAnsi="Times New Roman"/>
            <w:color w:val="auto"/>
            <w:sz w:val="24"/>
            <w:szCs w:val="24"/>
          </w:rPr>
          <w:t>пункту 5</w:t>
        </w:r>
      </w:hyperlink>
      <w:r>
        <w:rPr>
          <w:rFonts w:ascii="Times New Roman" w:hAnsi="Times New Roman"/>
          <w:sz w:val="24"/>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28" w:anchor="l524" w:history="1">
        <w:r>
          <w:rPr>
            <w:rStyle w:val="a3"/>
            <w:rFonts w:ascii="Times New Roman" w:hAnsi="Times New Roman"/>
            <w:color w:val="auto"/>
            <w:sz w:val="24"/>
            <w:szCs w:val="24"/>
          </w:rPr>
          <w:t>пунктом 8</w:t>
        </w:r>
      </w:hyperlink>
      <w:r>
        <w:rPr>
          <w:rFonts w:ascii="Times New Roman" w:hAnsi="Times New Roman"/>
          <w:sz w:val="24"/>
          <w:szCs w:val="24"/>
        </w:rPr>
        <w:t xml:space="preserve"> Основных положений.</w:t>
      </w:r>
      <w:proofErr w:type="gramEnd"/>
    </w:p>
    <w:p w:rsidR="006755FE" w:rsidRDefault="006755FE" w:rsidP="006755FE">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учебного кабинета</w:t>
      </w:r>
    </w:p>
    <w:p w:rsidR="006755FE" w:rsidRDefault="006755FE" w:rsidP="006755FE">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5</w:t>
      </w:r>
    </w:p>
    <w:tbl>
      <w:tblPr>
        <w:tblW w:w="0" w:type="auto"/>
        <w:jc w:val="center"/>
        <w:tblCellMar>
          <w:left w:w="0" w:type="dxa"/>
          <w:right w:w="0" w:type="dxa"/>
        </w:tblCellMar>
        <w:tblLook w:val="04A0" w:firstRow="1" w:lastRow="0" w:firstColumn="1" w:lastColumn="0" w:noHBand="0" w:noVBand="1"/>
      </w:tblPr>
      <w:tblGrid>
        <w:gridCol w:w="6750"/>
        <w:gridCol w:w="1260"/>
        <w:gridCol w:w="1216"/>
      </w:tblGrid>
      <w:tr w:rsidR="006755FE" w:rsidTr="006755FE">
        <w:trPr>
          <w:jc w:val="center"/>
        </w:trPr>
        <w:tc>
          <w:tcPr>
            <w:tcW w:w="675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216"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6755FE" w:rsidTr="006755FE">
        <w:trPr>
          <w:jc w:val="center"/>
        </w:trPr>
        <w:tc>
          <w:tcPr>
            <w:tcW w:w="675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 и технические средства обучения</w:t>
            </w:r>
          </w:p>
        </w:tc>
        <w:tc>
          <w:tcPr>
            <w:tcW w:w="1260"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single" w:sz="6" w:space="0" w:color="auto"/>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6755FE" w:rsidTr="006755FE">
        <w:trPr>
          <w:jc w:val="center"/>
        </w:trPr>
        <w:tc>
          <w:tcPr>
            <w:tcW w:w="6750" w:type="dxa"/>
            <w:tcBorders>
              <w:top w:val="single" w:sz="6" w:space="0" w:color="auto"/>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 (в качестве тренажера может использоваться учебное транспортное средство)</w:t>
            </w:r>
          </w:p>
        </w:tc>
        <w:tc>
          <w:tcPr>
            <w:tcW w:w="1260" w:type="dxa"/>
            <w:tcBorders>
              <w:top w:val="single" w:sz="6" w:space="0" w:color="auto"/>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single" w:sz="6" w:space="0" w:color="auto"/>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Опорно-сцепное устройство</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(монитор, электронная доска)</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 пособия</w:t>
            </w:r>
          </w:p>
          <w:p w:rsidR="006755FE" w:rsidRDefault="006755FE">
            <w:pPr>
              <w:widowControl w:val="0"/>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roofErr w:type="gramEnd"/>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"CE" как объектов управления</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Классификация прицепов</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прицепов категории O2, O3, O4</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подвесок, применяемых на прицепах</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рабочей тормозной системы прицепа</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Электрооборудование прицепа</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узла сцепки и опорно-сцепного устройства</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Контрольный осмотр и ежедневное техническое обслуживание автопоезда</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Основы управления транспортными средствами категории "CE"</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автопоездом при прохождении поворотов</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автопоездом при обгоне, опережении и встречном разъезде</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Маневрирование автопоезда в ограниченном пространстве</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автопоездом при движении задним ходом</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Перевозка грузов в прицепах различного назначения</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Причины ухудшения курсовой устойчивости и "складывания" автопоезда при торможении</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Причины возникновения заноса и сноса прицепа</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Особенности управления автопоездом в горной местности</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опасные ситуации</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Информационные материалы</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Информационный стенд</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Закон Российской Федерации </w:t>
            </w:r>
            <w:hyperlink r:id="rId29" w:anchor="l3" w:history="1">
              <w:r>
                <w:rPr>
                  <w:rStyle w:val="a3"/>
                  <w:rFonts w:ascii="Times New Roman" w:hAnsi="Times New Roman"/>
                  <w:color w:val="auto"/>
                  <w:sz w:val="24"/>
                  <w:szCs w:val="24"/>
                </w:rPr>
                <w:t>от 7 февраля 1992 г. N 2300-1</w:t>
              </w:r>
            </w:hyperlink>
            <w:r>
              <w:rPr>
                <w:rFonts w:ascii="Times New Roman" w:hAnsi="Times New Roman"/>
                <w:sz w:val="24"/>
                <w:szCs w:val="24"/>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Копия лицензии с соответствующим приложением</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Примерная программа</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Образовательная программа</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Учебный план</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Расписание занятий (на каждую учебную группу)</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График учебного вождения (на каждую учебную группу)</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Книга жалоб и предложений</w:t>
            </w:r>
          </w:p>
        </w:tc>
        <w:tc>
          <w:tcPr>
            <w:tcW w:w="1260"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6755FE" w:rsidTr="006755FE">
        <w:trPr>
          <w:jc w:val="center"/>
        </w:trPr>
        <w:tc>
          <w:tcPr>
            <w:tcW w:w="6750" w:type="dxa"/>
            <w:tcBorders>
              <w:top w:val="nil"/>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single" w:sz="6" w:space="0" w:color="auto"/>
              <w:right w:val="single" w:sz="6" w:space="0" w:color="auto"/>
            </w:tcBorders>
            <w:hideMark/>
          </w:tcPr>
          <w:p w:rsidR="006755FE" w:rsidRDefault="006755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rsidR="006755FE" w:rsidRDefault="006755FE" w:rsidP="006755FE">
      <w:pPr>
        <w:widowControl w:val="0"/>
        <w:autoSpaceDE w:val="0"/>
        <w:autoSpaceDN w:val="0"/>
        <w:adjustRightInd w:val="0"/>
        <w:spacing w:after="0" w:line="240" w:lineRule="auto"/>
        <w:jc w:val="both"/>
        <w:rPr>
          <w:rFonts w:ascii="Times New Roman" w:hAnsi="Times New Roman"/>
          <w:sz w:val="24"/>
          <w:szCs w:val="24"/>
        </w:rPr>
      </w:pPr>
    </w:p>
    <w:p w:rsidR="006755FE" w:rsidRDefault="006755FE" w:rsidP="006755FE">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0" w:anchor="l225" w:history="1">
        <w:r>
          <w:rPr>
            <w:rStyle w:val="a3"/>
            <w:rFonts w:ascii="Times New Roman" w:hAnsi="Times New Roman"/>
            <w:color w:val="auto"/>
            <w:sz w:val="24"/>
            <w:szCs w:val="24"/>
          </w:rPr>
          <w:t>пункту 2</w:t>
        </w:r>
      </w:hyperlink>
      <w:r>
        <w:rPr>
          <w:rFonts w:ascii="Times New Roman" w:hAnsi="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w:t>
      </w:r>
      <w:proofErr w:type="gramEnd"/>
      <w:r>
        <w:rPr>
          <w:rFonts w:ascii="Times New Roman" w:hAnsi="Times New Roman"/>
          <w:sz w:val="24"/>
          <w:szCs w:val="24"/>
        </w:rPr>
        <w:t xml:space="preserve">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1" w:anchor="l313" w:history="1">
        <w:r>
          <w:rPr>
            <w:rStyle w:val="a3"/>
            <w:rFonts w:ascii="Times New Roman" w:hAnsi="Times New Roman"/>
            <w:color w:val="auto"/>
            <w:sz w:val="24"/>
            <w:szCs w:val="24"/>
          </w:rPr>
          <w:t>пункту 3</w:t>
        </w:r>
      </w:hyperlink>
      <w:r>
        <w:rPr>
          <w:rFonts w:ascii="Times New Roman" w:hAnsi="Times New Roman"/>
          <w:sz w:val="24"/>
          <w:szCs w:val="24"/>
        </w:rPr>
        <w:t xml:space="preserve"> Требований к техническим средствам контроля.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w:t>
      </w:r>
      <w:r>
        <w:rPr>
          <w:rFonts w:ascii="Times New Roman" w:hAnsi="Times New Roman"/>
          <w:sz w:val="24"/>
          <w:szCs w:val="24"/>
        </w:rPr>
        <w:lastRenderedPageBreak/>
        <w:t>(ограничительные), стойки разметочные, вехи стержневые.</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Зоны испытательных упражнений автодрома, автоматизированного автодрома и закрытой площадки должны иметь однородное </w:t>
      </w:r>
      <w:proofErr w:type="spellStart"/>
      <w:r>
        <w:rPr>
          <w:rFonts w:ascii="Times New Roman" w:hAnsi="Times New Roman"/>
          <w:sz w:val="24"/>
          <w:szCs w:val="24"/>
        </w:rPr>
        <w:t>асфальт</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или цементобетонное покрытие согласно </w:t>
      </w:r>
      <w:hyperlink r:id="rId32"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3"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34"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35"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колеса автомобиля с покрытием должен быть не менее 0,3 </w:t>
      </w:r>
      <w:proofErr w:type="gramStart"/>
      <w:r>
        <w:rPr>
          <w:rFonts w:ascii="Times New Roman" w:hAnsi="Times New Roman"/>
          <w:sz w:val="24"/>
          <w:szCs w:val="24"/>
        </w:rPr>
        <w:t>при его измерении измерительным колесом стандартным с покрышкой с протектором без рисунка в соответствии</w:t>
      </w:r>
      <w:proofErr w:type="gramEnd"/>
      <w:r>
        <w:rPr>
          <w:rFonts w:ascii="Times New Roman" w:hAnsi="Times New Roman"/>
          <w:sz w:val="24"/>
          <w:szCs w:val="24"/>
        </w:rPr>
        <w:t xml:space="preserve">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w:t>
      </w:r>
      <w:proofErr w:type="gramStart"/>
      <w:r>
        <w:rPr>
          <w:rFonts w:ascii="Times New Roman" w:hAnsi="Times New Roman"/>
          <w:sz w:val="24"/>
          <w:szCs w:val="24"/>
        </w:rPr>
        <w:t>Р</w:t>
      </w:r>
      <w:proofErr w:type="gramEnd"/>
      <w:r>
        <w:rPr>
          <w:rFonts w:ascii="Times New Roman" w:hAnsi="Times New Roman"/>
          <w:sz w:val="24"/>
          <w:szCs w:val="24"/>
        </w:rPr>
        <w:t xml:space="preserve"> 50597-2017, утвержденного приказом Федерального агентства по техническому регулированию и метрологии от 26 сентября 2017 г. N 1245-ст (М., </w:t>
      </w:r>
      <w:proofErr w:type="spellStart"/>
      <w:r>
        <w:rPr>
          <w:rFonts w:ascii="Times New Roman" w:hAnsi="Times New Roman"/>
          <w:sz w:val="24"/>
          <w:szCs w:val="24"/>
        </w:rPr>
        <w:t>Стандартинформ</w:t>
      </w:r>
      <w:proofErr w:type="spellEnd"/>
      <w:r>
        <w:rPr>
          <w:rFonts w:ascii="Times New Roman" w:hAnsi="Times New Roman"/>
          <w:sz w:val="24"/>
          <w:szCs w:val="24"/>
        </w:rPr>
        <w:t>, 2017).</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36"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37" w:anchor="l447" w:history="1">
        <w:r>
          <w:rPr>
            <w:rStyle w:val="a3"/>
            <w:rFonts w:ascii="Times New Roman" w:hAnsi="Times New Roman"/>
            <w:color w:val="auto"/>
            <w:sz w:val="24"/>
            <w:szCs w:val="24"/>
          </w:rPr>
          <w:t>пункту 7</w:t>
        </w:r>
      </w:hyperlink>
      <w:r>
        <w:rPr>
          <w:rFonts w:ascii="Times New Roman" w:hAnsi="Times New Roman"/>
          <w:sz w:val="24"/>
          <w:szCs w:val="24"/>
        </w:rPr>
        <w:t xml:space="preserve"> Требований к техническим средствам контроля.</w:t>
      </w:r>
      <w:proofErr w:type="gramEnd"/>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Pr>
          <w:rFonts w:ascii="Times New Roman" w:hAnsi="Times New Roman"/>
          <w:sz w:val="24"/>
          <w:szCs w:val="24"/>
        </w:rPr>
        <w:t>послефинишной</w:t>
      </w:r>
      <w:proofErr w:type="spellEnd"/>
      <w:r>
        <w:rPr>
          <w:rFonts w:ascii="Times New Roman" w:hAnsi="Times New Roman"/>
          <w:sz w:val="24"/>
          <w:szCs w:val="24"/>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w:t>
      </w:r>
      <w:proofErr w:type="gramEnd"/>
      <w:r>
        <w:rPr>
          <w:rFonts w:ascii="Times New Roman" w:hAnsi="Times New Roman"/>
          <w:sz w:val="24"/>
          <w:szCs w:val="24"/>
        </w:rPr>
        <w:t xml:space="preserve"> освещения согласно </w:t>
      </w:r>
      <w:hyperlink r:id="rId38" w:anchor="l230" w:history="1">
        <w:r>
          <w:rPr>
            <w:rStyle w:val="a3"/>
            <w:rFonts w:ascii="Times New Roman" w:hAnsi="Times New Roman"/>
            <w:color w:val="auto"/>
            <w:sz w:val="24"/>
            <w:szCs w:val="24"/>
          </w:rPr>
          <w:t>пункту 8</w:t>
        </w:r>
      </w:hyperlink>
      <w:r>
        <w:rPr>
          <w:rFonts w:ascii="Times New Roman" w:hAnsi="Times New Roman"/>
          <w:sz w:val="24"/>
          <w:szCs w:val="24"/>
        </w:rPr>
        <w:t xml:space="preserve"> Требований к техническим средствам контроля.</w:t>
      </w:r>
    </w:p>
    <w:p w:rsidR="006755FE" w:rsidRDefault="006755FE" w:rsidP="006755FE">
      <w:pPr>
        <w:widowControl w:val="0"/>
        <w:autoSpaceDE w:val="0"/>
        <w:autoSpaceDN w:val="0"/>
        <w:adjustRightInd w:val="0"/>
        <w:spacing w:after="0" w:line="240" w:lineRule="auto"/>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 Система оценки результатов освоения образовательной программы</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w:t>
      </w:r>
      <w:r>
        <w:rPr>
          <w:rFonts w:ascii="Times New Roman" w:hAnsi="Times New Roman"/>
          <w:sz w:val="24"/>
          <w:szCs w:val="24"/>
        </w:rPr>
        <w:lastRenderedPageBreak/>
        <w:t>компетенции организации, осуществляющей образовательную деятельность.</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39" w:anchor="l932" w:history="1">
        <w:r>
          <w:rPr>
            <w:rStyle w:val="a3"/>
            <w:rFonts w:ascii="Times New Roman" w:hAnsi="Times New Roman"/>
            <w:color w:val="auto"/>
            <w:sz w:val="24"/>
            <w:szCs w:val="24"/>
          </w:rPr>
          <w:t>статье 74</w:t>
        </w:r>
      </w:hyperlink>
      <w:r>
        <w:rPr>
          <w:rFonts w:ascii="Times New Roman" w:hAnsi="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Проверка теоретических знаний при проведении квалификационного экзамена проводится по предметам:</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"CE" как объектов управления";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"CE".</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"CE" на закрытой площадке или автодроме. На втором этапе осуществляется проверка навыков управления транспортным средством категории "CE" в условиях дорожного движения.</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0" w:anchor="l803" w:history="1">
        <w:r>
          <w:rPr>
            <w:rStyle w:val="a3"/>
            <w:rFonts w:ascii="Times New Roman" w:hAnsi="Times New Roman"/>
            <w:color w:val="auto"/>
            <w:sz w:val="24"/>
            <w:szCs w:val="24"/>
          </w:rPr>
          <w:t>пункту 2</w:t>
        </w:r>
      </w:hyperlink>
      <w:r>
        <w:rPr>
          <w:rFonts w:ascii="Times New Roman" w:hAnsi="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Индивидуальный учет результатов освоения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6755FE" w:rsidRDefault="006755FE" w:rsidP="006755FE">
      <w:pPr>
        <w:widowControl w:val="0"/>
        <w:autoSpaceDE w:val="0"/>
        <w:autoSpaceDN w:val="0"/>
        <w:adjustRightInd w:val="0"/>
        <w:spacing w:after="150" w:line="240" w:lineRule="auto"/>
        <w:jc w:val="center"/>
        <w:rPr>
          <w:rFonts w:ascii="Times New Roman" w:hAnsi="Times New Roman"/>
          <w:sz w:val="32"/>
          <w:szCs w:val="32"/>
        </w:rPr>
      </w:pPr>
      <w:bookmarkStart w:id="0" w:name="_GoBack"/>
      <w:bookmarkEnd w:id="0"/>
      <w:r>
        <w:rPr>
          <w:rFonts w:ascii="Times New Roman" w:hAnsi="Times New Roman"/>
          <w:b/>
          <w:bCs/>
          <w:sz w:val="32"/>
          <w:szCs w:val="32"/>
        </w:rPr>
        <w:t>VII. Учебно-методические материалы, обеспечивающие реализацию образовательной программы</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Учебно-методические материалы представлены:</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Примерной  программой;  </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образовательной программой;</w:t>
      </w:r>
    </w:p>
    <w:p w:rsidR="006755FE" w:rsidRDefault="006755FE" w:rsidP="006755FE">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материалами для проведения промежуточной и итоговой аттестации </w:t>
      </w:r>
      <w:proofErr w:type="gramStart"/>
      <w:r>
        <w:rPr>
          <w:rFonts w:ascii="Times New Roman" w:hAnsi="Times New Roman"/>
          <w:sz w:val="24"/>
          <w:szCs w:val="24"/>
        </w:rPr>
        <w:t>обучающихся</w:t>
      </w:r>
      <w:proofErr w:type="gramEnd"/>
      <w:r>
        <w:rPr>
          <w:rFonts w:ascii="Times New Roman" w:hAnsi="Times New Roman"/>
          <w:sz w:val="24"/>
          <w:szCs w:val="24"/>
        </w:rPr>
        <w:t>, утвержденными руководителем организации, осуществляющей образовательную деятельность.</w:t>
      </w:r>
    </w:p>
    <w:p w:rsidR="006755FE" w:rsidRDefault="006755FE" w:rsidP="006755FE">
      <w:pPr>
        <w:widowControl w:val="0"/>
        <w:autoSpaceDE w:val="0"/>
        <w:autoSpaceDN w:val="0"/>
        <w:adjustRightInd w:val="0"/>
        <w:spacing w:after="0" w:line="240" w:lineRule="auto"/>
        <w:rPr>
          <w:rFonts w:ascii="Times New Roman" w:hAnsi="Times New Roman"/>
          <w:sz w:val="24"/>
          <w:szCs w:val="24"/>
        </w:rPr>
      </w:pPr>
    </w:p>
    <w:p w:rsidR="006755FE" w:rsidRDefault="006755FE" w:rsidP="006755FE">
      <w:pPr>
        <w:widowControl w:val="0"/>
        <w:autoSpaceDE w:val="0"/>
        <w:autoSpaceDN w:val="0"/>
        <w:adjustRightInd w:val="0"/>
        <w:spacing w:after="150" w:line="240" w:lineRule="auto"/>
        <w:jc w:val="right"/>
        <w:rPr>
          <w:rFonts w:ascii="Times New Roman" w:hAnsi="Times New Roman"/>
          <w:i/>
          <w:iCs/>
          <w:sz w:val="24"/>
          <w:szCs w:val="24"/>
        </w:rPr>
      </w:pPr>
    </w:p>
    <w:p w:rsidR="006755FE" w:rsidRDefault="006755FE" w:rsidP="006755FE">
      <w:pPr>
        <w:widowControl w:val="0"/>
        <w:autoSpaceDE w:val="0"/>
        <w:autoSpaceDN w:val="0"/>
        <w:adjustRightInd w:val="0"/>
        <w:spacing w:after="150" w:line="240" w:lineRule="auto"/>
        <w:jc w:val="right"/>
        <w:rPr>
          <w:rFonts w:ascii="Times New Roman" w:hAnsi="Times New Roman"/>
          <w:i/>
          <w:iCs/>
          <w:sz w:val="24"/>
          <w:szCs w:val="24"/>
        </w:rPr>
      </w:pPr>
    </w:p>
    <w:p w:rsidR="006755FE" w:rsidRDefault="006755FE" w:rsidP="006755FE">
      <w:pPr>
        <w:widowControl w:val="0"/>
        <w:autoSpaceDE w:val="0"/>
        <w:autoSpaceDN w:val="0"/>
        <w:adjustRightInd w:val="0"/>
        <w:spacing w:after="150" w:line="240" w:lineRule="auto"/>
        <w:jc w:val="right"/>
        <w:rPr>
          <w:rFonts w:ascii="Times New Roman" w:hAnsi="Times New Roman"/>
          <w:i/>
          <w:iCs/>
          <w:sz w:val="24"/>
          <w:szCs w:val="24"/>
        </w:rPr>
      </w:pPr>
    </w:p>
    <w:p w:rsidR="00F03351" w:rsidRDefault="00F03351"/>
    <w:sectPr w:rsidR="00F03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FE"/>
    <w:rsid w:val="006755FE"/>
    <w:rsid w:val="00F03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5FE"/>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5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5FE"/>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5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66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0328" TargetMode="External"/><Relationship Id="rId13" Type="http://schemas.openxmlformats.org/officeDocument/2006/relationships/hyperlink" Target="https://normativ.kontur.ru/document?moduleid=1&amp;documentid=352263" TargetMode="External"/><Relationship Id="rId18" Type="http://schemas.openxmlformats.org/officeDocument/2006/relationships/image" Target="media/image2.jpeg"/><Relationship Id="rId26" Type="http://schemas.openxmlformats.org/officeDocument/2006/relationships/image" Target="media/image5.jpeg"/><Relationship Id="rId39" Type="http://schemas.openxmlformats.org/officeDocument/2006/relationships/hyperlink" Target="https://normativ.kontur.ru/document?moduleid=1&amp;documentid=416094" TargetMode="External"/><Relationship Id="rId3" Type="http://schemas.openxmlformats.org/officeDocument/2006/relationships/settings" Target="settings.xml"/><Relationship Id="rId21" Type="http://schemas.openxmlformats.org/officeDocument/2006/relationships/hyperlink" Target="https://normativ.kontur.ru/document?moduleid=1&amp;documentid=322539" TargetMode="External"/><Relationship Id="rId34" Type="http://schemas.openxmlformats.org/officeDocument/2006/relationships/hyperlink" Target="https://normativ.kontur.ru/document?moduleid=1&amp;documentid=387058" TargetMode="External"/><Relationship Id="rId42" Type="http://schemas.openxmlformats.org/officeDocument/2006/relationships/theme" Target="theme/theme1.xml"/><Relationship Id="rId7" Type="http://schemas.openxmlformats.org/officeDocument/2006/relationships/hyperlink" Target="https://normativ.kontur.ru/document?moduleid=1&amp;documentid=330326" TargetMode="External"/><Relationship Id="rId12" Type="http://schemas.openxmlformats.org/officeDocument/2006/relationships/hyperlink" Target="https://normativ.kontur.ru/document?moduleid=1&amp;documentid=408916" TargetMode="External"/><Relationship Id="rId17" Type="http://schemas.openxmlformats.org/officeDocument/2006/relationships/image" Target="media/image1.jpeg"/><Relationship Id="rId25" Type="http://schemas.openxmlformats.org/officeDocument/2006/relationships/image" Target="media/image4.jpeg"/><Relationship Id="rId33" Type="http://schemas.openxmlformats.org/officeDocument/2006/relationships/hyperlink" Target="https://normativ.kontur.ru/document?moduleid=1&amp;documentid=387058" TargetMode="External"/><Relationship Id="rId38" Type="http://schemas.openxmlformats.org/officeDocument/2006/relationships/hyperlink" Target="https://normativ.kontur.ru/document?moduleid=1&amp;documentid=387058"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385080" TargetMode="External"/><Relationship Id="rId20" Type="http://schemas.openxmlformats.org/officeDocument/2006/relationships/hyperlink" Target="https://normativ.kontur.ru/document?moduleid=1&amp;documentid=352263" TargetMode="External"/><Relationship Id="rId29" Type="http://schemas.openxmlformats.org/officeDocument/2006/relationships/hyperlink" Target="https://normativ.kontur.ru/document?moduleid=1&amp;documentid=395796"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ormativ.kontur.ru/document?moduleid=1&amp;documentid=416094" TargetMode="Externa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52263" TargetMode="External"/><Relationship Id="rId32" Type="http://schemas.openxmlformats.org/officeDocument/2006/relationships/hyperlink" Target="https://normativ.kontur.ru/document?moduleid=1&amp;documentid=387058"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416094" TargetMode="External"/><Relationship Id="rId5" Type="http://schemas.openxmlformats.org/officeDocument/2006/relationships/hyperlink" Target="https://normativ.kontur.ru/document?moduleid=1&amp;documentid=408738" TargetMode="External"/><Relationship Id="rId15" Type="http://schemas.openxmlformats.org/officeDocument/2006/relationships/hyperlink" Target="https://normativ.kontur.ru/document?moduleid=1&amp;documentid=408738" TargetMode="External"/><Relationship Id="rId23" Type="http://schemas.openxmlformats.org/officeDocument/2006/relationships/hyperlink" Target="https://normativ.kontur.ru/document?moduleid=1&amp;documentid=322539" TargetMode="External"/><Relationship Id="rId28" Type="http://schemas.openxmlformats.org/officeDocument/2006/relationships/hyperlink" Target="https://normativ.kontur.ru/document?moduleid=1&amp;documentid=352263" TargetMode="External"/><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16094" TargetMode="External"/><Relationship Id="rId19" Type="http://schemas.openxmlformats.org/officeDocument/2006/relationships/image" Target="media/image3.jpeg"/><Relationship Id="rId31" Type="http://schemas.openxmlformats.org/officeDocument/2006/relationships/hyperlink" Target="https://normativ.kontur.ru/document?moduleid=1&amp;documentid=387058"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76556" TargetMode="External"/><Relationship Id="rId14" Type="http://schemas.openxmlformats.org/officeDocument/2006/relationships/hyperlink" Target="https://normativ.kontur.ru/document?moduleid=1&amp;documentid=408738" TargetMode="External"/><Relationship Id="rId22" Type="http://schemas.openxmlformats.org/officeDocument/2006/relationships/hyperlink" Target="https://normativ.kontur.ru/document?moduleid=1&amp;documentid=184188" TargetMode="External"/><Relationship Id="rId27" Type="http://schemas.openxmlformats.org/officeDocument/2006/relationships/hyperlink" Target="https://normativ.kontur.ru/document?moduleid=1&amp;documentid=352263" TargetMode="External"/><Relationship Id="rId30" Type="http://schemas.openxmlformats.org/officeDocument/2006/relationships/hyperlink" Target="https://normativ.kontur.ru/document?moduleid=1&amp;documentid=387058" TargetMode="External"/><Relationship Id="rId35"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5346</Words>
  <Characters>30478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1</cp:revision>
  <dcterms:created xsi:type="dcterms:W3CDTF">2022-08-22T12:32:00Z</dcterms:created>
  <dcterms:modified xsi:type="dcterms:W3CDTF">2022-08-22T12:33:00Z</dcterms:modified>
</cp:coreProperties>
</file>